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Alice in Wonderland</w:t>
      </w:r>
    </w:p>
    <w:p w:rsidR="00000000" w:rsidDel="00000000" w:rsidP="00000000" w:rsidRDefault="00000000" w:rsidRPr="00000000">
      <w:pPr>
        <w:contextualSpacing w:val="0"/>
        <w:jc w:val="center"/>
      </w:pPr>
      <w:r w:rsidDel="00000000" w:rsidR="00000000" w:rsidRPr="00000000">
        <w:rPr>
          <w:sz w:val="28"/>
          <w:szCs w:val="28"/>
          <w:rtl w:val="0"/>
        </w:rPr>
        <w:t xml:space="preserve">Damon Group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Meet with group 5 times in 2 weeks</w:t>
      </w:r>
    </w:p>
    <w:p w:rsidR="00000000" w:rsidDel="00000000" w:rsidP="00000000" w:rsidRDefault="00000000" w:rsidRPr="00000000">
      <w:pPr>
        <w:contextualSpacing w:val="0"/>
        <w:jc w:val="center"/>
      </w:pPr>
      <w:r w:rsidDel="00000000" w:rsidR="00000000" w:rsidRPr="00000000">
        <w:rPr>
          <w:sz w:val="28"/>
          <w:szCs w:val="28"/>
          <w:rtl w:val="0"/>
        </w:rPr>
        <w:t xml:space="preserve">15-20 min/ meet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1- Preview and Make Predictions</w:t>
      </w:r>
    </w:p>
    <w:p w:rsidR="00000000" w:rsidDel="00000000" w:rsidP="00000000" w:rsidRDefault="00000000" w:rsidRPr="00000000">
      <w:pPr>
        <w:numPr>
          <w:ilvl w:val="0"/>
          <w:numId w:val="4"/>
        </w:numPr>
        <w:ind w:left="720" w:hanging="360"/>
        <w:contextualSpacing w:val="1"/>
        <w:rPr>
          <w:i w:val="1"/>
        </w:rPr>
      </w:pPr>
      <w:r w:rsidDel="00000000" w:rsidR="00000000" w:rsidRPr="00000000">
        <w:rPr>
          <w:i w:val="1"/>
          <w:rtl w:val="0"/>
        </w:rPr>
        <w:t xml:space="preserve">Alice in Wonderland is Narrative Fiction.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Students will flip through the book and view the pictures, table of contents, as well as the back cover.  Explain to students that </w:t>
      </w:r>
      <w:r w:rsidDel="00000000" w:rsidR="00000000" w:rsidRPr="00000000">
        <w:rPr>
          <w:i w:val="1"/>
          <w:rtl w:val="0"/>
        </w:rPr>
        <w:t xml:space="preserve">this book has an introduction section, as well as 2 selections from the whole story.  This book also has a glossary.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Read pages 2-5: About Alice in Wonderland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Students will read to self until the teacher's hand is in front of them, then they will read outloud.  If a student finishes the section early, they should read it again.  </w:t>
      </w:r>
    </w:p>
    <w:p w:rsidR="00000000" w:rsidDel="00000000" w:rsidP="00000000" w:rsidRDefault="00000000" w:rsidRPr="00000000">
      <w:pPr>
        <w:numPr>
          <w:ilvl w:val="0"/>
          <w:numId w:val="4"/>
        </w:numPr>
        <w:ind w:left="720" w:hanging="360"/>
        <w:contextualSpacing w:val="1"/>
        <w:rPr>
          <w:i w:val="1"/>
        </w:rPr>
      </w:pPr>
      <w:r w:rsidDel="00000000" w:rsidR="00000000" w:rsidRPr="00000000">
        <w:rPr>
          <w:i w:val="1"/>
          <w:rtl w:val="0"/>
        </w:rPr>
        <w:t xml:space="preserve">What does this introduction tell you about the story we are about to read?</w:t>
      </w:r>
    </w:p>
    <w:p w:rsidR="00000000" w:rsidDel="00000000" w:rsidP="00000000" w:rsidRDefault="00000000" w:rsidRPr="00000000">
      <w:pPr>
        <w:numPr>
          <w:ilvl w:val="0"/>
          <w:numId w:val="4"/>
        </w:numPr>
        <w:ind w:left="720" w:hanging="360"/>
        <w:contextualSpacing w:val="1"/>
        <w:rPr>
          <w:i w:val="1"/>
        </w:rPr>
      </w:pPr>
      <w:r w:rsidDel="00000000" w:rsidR="00000000" w:rsidRPr="00000000">
        <w:rPr>
          <w:i w:val="1"/>
          <w:rtl w:val="0"/>
        </w:rPr>
        <w:t xml:space="preserve">What do the pictures tell you about this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2-</w:t>
      </w:r>
      <w:r w:rsidDel="00000000" w:rsidR="00000000" w:rsidRPr="00000000">
        <w:rPr>
          <w:rtl w:val="0"/>
        </w:rPr>
        <w:t xml:space="preserve"> </w:t>
      </w:r>
      <w:r w:rsidDel="00000000" w:rsidR="00000000" w:rsidRPr="00000000">
        <w:rPr>
          <w:b w:val="1"/>
          <w:rtl w:val="0"/>
        </w:rPr>
        <w:t xml:space="preserve">(Analyze Character worksheet from text connections teacher’s guide)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Read </w:t>
      </w:r>
      <w:r w:rsidDel="00000000" w:rsidR="00000000" w:rsidRPr="00000000">
        <w:rPr>
          <w:i w:val="1"/>
          <w:rtl w:val="0"/>
        </w:rPr>
        <w:t xml:space="preserve">The Story So Far…</w:t>
      </w:r>
      <w:r w:rsidDel="00000000" w:rsidR="00000000" w:rsidRPr="00000000">
        <w:rPr>
          <w:rtl w:val="0"/>
        </w:rPr>
        <w:t xml:space="preserve"> - Teacher will read aloud to students while they follow along. </w:t>
      </w:r>
    </w:p>
    <w:p w:rsidR="00000000" w:rsidDel="00000000" w:rsidP="00000000" w:rsidRDefault="00000000" w:rsidRPr="00000000">
      <w:pPr>
        <w:numPr>
          <w:ilvl w:val="0"/>
          <w:numId w:val="5"/>
        </w:numPr>
        <w:ind w:left="720" w:hanging="360"/>
        <w:contextualSpacing w:val="1"/>
        <w:rPr>
          <w:i w:val="1"/>
          <w:u w:val="none"/>
        </w:rPr>
      </w:pPr>
      <w:r w:rsidDel="00000000" w:rsidR="00000000" w:rsidRPr="00000000">
        <w:rPr>
          <w:i w:val="1"/>
          <w:rtl w:val="0"/>
        </w:rPr>
        <w:t xml:space="preserve">Based on what we just read in The Story So Far, what do you predict the setting will be for the “A Mad Tea-Party” selection?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Have students read to self except for when hand is in front of them, pages 8-15. </w:t>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Who are the characters in this selection?</w:t>
      </w: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i w:val="1"/>
          <w:u w:val="none"/>
        </w:rPr>
      </w:pPr>
      <w:r w:rsidDel="00000000" w:rsidR="00000000" w:rsidRPr="00000000">
        <w:rPr>
          <w:i w:val="1"/>
          <w:rtl w:val="0"/>
        </w:rPr>
        <w:t xml:space="preserve">What is the hatter doing in this section of the story? Remember that as we move on.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If there is time, start filling out Comprehension: Analyze Character worksheet for Hatter in “A Mad Tea-Party” (left) side.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3-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Read pages 15-18.</w:t>
      </w:r>
      <w:r w:rsidDel="00000000" w:rsidR="00000000" w:rsidRPr="00000000">
        <w:rPr>
          <w:rtl w:val="0"/>
        </w:rPr>
        <w:t xml:space="preserve"> Teacher will read first paragraph and discuss the word treacle.  Students will read to self through page 18 unless teachers hand is in front of them.  Students will then complete filling out the left side of their comprehension graphic organizer.  </w:t>
      </w:r>
    </w:p>
    <w:p w:rsidR="00000000" w:rsidDel="00000000" w:rsidP="00000000" w:rsidRDefault="00000000" w:rsidRPr="00000000">
      <w:pPr>
        <w:numPr>
          <w:ilvl w:val="0"/>
          <w:numId w:val="3"/>
        </w:numPr>
        <w:ind w:left="720" w:hanging="360"/>
        <w:contextualSpacing w:val="1"/>
        <w:rPr>
          <w:i w:val="1"/>
          <w:u w:val="none"/>
        </w:rPr>
      </w:pPr>
      <w:r w:rsidDel="00000000" w:rsidR="00000000" w:rsidRPr="00000000">
        <w:rPr>
          <w:i w:val="1"/>
          <w:rtl w:val="0"/>
        </w:rPr>
        <w:t xml:space="preserve">What are some of the main actions the Hatter did during “A Mad Tea-Party”?</w:t>
      </w:r>
    </w:p>
    <w:p w:rsidR="00000000" w:rsidDel="00000000" w:rsidP="00000000" w:rsidRDefault="00000000" w:rsidRPr="00000000">
      <w:pPr>
        <w:numPr>
          <w:ilvl w:val="0"/>
          <w:numId w:val="3"/>
        </w:numPr>
        <w:ind w:left="720" w:hanging="360"/>
        <w:contextualSpacing w:val="1"/>
        <w:rPr>
          <w:i w:val="1"/>
          <w:u w:val="none"/>
        </w:rPr>
      </w:pPr>
      <w:r w:rsidDel="00000000" w:rsidR="00000000" w:rsidRPr="00000000">
        <w:rPr>
          <w:i w:val="1"/>
          <w:rtl w:val="0"/>
        </w:rPr>
        <w:t xml:space="preserve">What do you think Alice’s opinion of the Hatter is at this point in the story?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Assign pages 21-29 to read during 8:30-9:00 the next morning.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Day 4-</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Teacher will first read </w:t>
      </w:r>
      <w:r w:rsidDel="00000000" w:rsidR="00000000" w:rsidRPr="00000000">
        <w:rPr>
          <w:i w:val="1"/>
          <w:rtl w:val="0"/>
        </w:rPr>
        <w:t xml:space="preserve">The Story Continues…</w:t>
      </w:r>
      <w:r w:rsidDel="00000000" w:rsidR="00000000" w:rsidRPr="00000000">
        <w:rPr>
          <w:rtl w:val="0"/>
        </w:rPr>
        <w:t xml:space="preserve"> aloud to students.  Students will read pages 21-29 on their own unless they are reading aloud to the teacher.  The group will finish the book by listening to the teacher read the last paragraph under </w:t>
      </w:r>
      <w:r w:rsidDel="00000000" w:rsidR="00000000" w:rsidRPr="00000000">
        <w:rPr>
          <w:i w:val="1"/>
          <w:rtl w:val="0"/>
        </w:rPr>
        <w:t xml:space="preserve">The Story Ends</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will fill out the right side of the analyze character worksheet.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will then draw a one sentence conclusion about the Hatter’s character and write it on the bottom 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Day 5-  (Venn Diagram saved on TPT)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Handout Venn Diagram and ask students to label it “A Mad Tea-Party” and “Who Stole the Tarts?” </w:t>
      </w:r>
    </w:p>
    <w:p w:rsidR="00000000" w:rsidDel="00000000" w:rsidP="00000000" w:rsidRDefault="00000000" w:rsidRPr="00000000">
      <w:pPr>
        <w:numPr>
          <w:ilvl w:val="0"/>
          <w:numId w:val="2"/>
        </w:numPr>
        <w:ind w:left="720" w:hanging="360"/>
        <w:contextualSpacing w:val="1"/>
        <w:rPr>
          <w:i w:val="1"/>
          <w:u w:val="none"/>
        </w:rPr>
      </w:pPr>
      <w:r w:rsidDel="00000000" w:rsidR="00000000" w:rsidRPr="00000000">
        <w:rPr>
          <w:i w:val="1"/>
          <w:rtl w:val="0"/>
        </w:rPr>
        <w:t xml:space="preserve">What characters were in both selections?</w:t>
      </w:r>
    </w:p>
    <w:p w:rsidR="00000000" w:rsidDel="00000000" w:rsidP="00000000" w:rsidRDefault="00000000" w:rsidRPr="00000000">
      <w:pPr>
        <w:numPr>
          <w:ilvl w:val="0"/>
          <w:numId w:val="2"/>
        </w:numPr>
        <w:ind w:left="720" w:hanging="360"/>
        <w:contextualSpacing w:val="1"/>
        <w:rPr>
          <w:i w:val="1"/>
          <w:u w:val="none"/>
        </w:rPr>
      </w:pPr>
      <w:r w:rsidDel="00000000" w:rsidR="00000000" w:rsidRPr="00000000">
        <w:rPr>
          <w:i w:val="1"/>
          <w:rtl w:val="0"/>
        </w:rPr>
        <w:t xml:space="preserve">What characters only appeared in one? </w:t>
      </w:r>
    </w:p>
    <w:p w:rsidR="00000000" w:rsidDel="00000000" w:rsidP="00000000" w:rsidRDefault="00000000" w:rsidRPr="00000000">
      <w:pPr>
        <w:numPr>
          <w:ilvl w:val="0"/>
          <w:numId w:val="2"/>
        </w:numPr>
        <w:ind w:left="720" w:hanging="360"/>
        <w:contextualSpacing w:val="1"/>
        <w:rPr>
          <w:i w:val="1"/>
          <w:u w:val="none"/>
        </w:rPr>
      </w:pPr>
      <w:r w:rsidDel="00000000" w:rsidR="00000000" w:rsidRPr="00000000">
        <w:rPr>
          <w:i w:val="1"/>
          <w:rtl w:val="0"/>
        </w:rPr>
        <w:t xml:space="preserve">Did the characters actions/attitudes stay the same in both selections?</w:t>
      </w:r>
    </w:p>
    <w:p w:rsidR="00000000" w:rsidDel="00000000" w:rsidP="00000000" w:rsidRDefault="00000000" w:rsidRPr="00000000">
      <w:pPr>
        <w:numPr>
          <w:ilvl w:val="0"/>
          <w:numId w:val="2"/>
        </w:numPr>
        <w:ind w:left="720" w:hanging="360"/>
        <w:contextualSpacing w:val="1"/>
        <w:rPr>
          <w:i w:val="1"/>
          <w:u w:val="none"/>
        </w:rPr>
      </w:pPr>
      <w:r w:rsidDel="00000000" w:rsidR="00000000" w:rsidRPr="00000000">
        <w:rPr>
          <w:i w:val="1"/>
          <w:rtl w:val="0"/>
        </w:rPr>
        <w:t xml:space="preserve">How are is the setting alike or different in the two selections?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Let students fill in charts independently and finish on their own if needed.  Ask for 3-4 points in each section of the diagram.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